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493AD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18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FA3D00" w:rsidRDefault="00FA3D00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B75CF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493AD9">
        <w:rPr>
          <w:b/>
          <w:u w:val="single"/>
        </w:rPr>
        <w:t>047</w:t>
      </w:r>
      <w:r>
        <w:rPr>
          <w:b/>
        </w:rPr>
        <w:tab/>
        <w:t xml:space="preserve">              </w:t>
      </w:r>
      <w:r w:rsidR="00493AD9">
        <w:rPr>
          <w:b/>
        </w:rPr>
        <w:t xml:space="preserve">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93AD9">
        <w:t>February 18 and 25,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B75CF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E508E"/>
    <w:rsid w:val="00493AD9"/>
    <w:rsid w:val="00B75CF2"/>
    <w:rsid w:val="00BE665E"/>
    <w:rsid w:val="00DD2501"/>
    <w:rsid w:val="00E35877"/>
    <w:rsid w:val="00FA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2021-03-12T13:29:00Z</dcterms:modified>
</cp:coreProperties>
</file>